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7FB9" w14:textId="24FFD076" w:rsidR="00A35616" w:rsidRPr="00A35616" w:rsidRDefault="00A35616" w:rsidP="00A35616">
      <w:pPr>
        <w:spacing w:after="0"/>
        <w:jc w:val="center"/>
        <w:rPr>
          <w:b/>
          <w:bCs/>
          <w:sz w:val="22"/>
        </w:rPr>
      </w:pPr>
      <w:r w:rsidRPr="00A35616">
        <w:rPr>
          <w:b/>
          <w:bCs/>
          <w:sz w:val="22"/>
        </w:rPr>
        <w:t>EDILIZIA SOCIALE IN EVOLUZIONE: SOLUZIONI, MODELLI E INNOVAZIONE</w:t>
      </w:r>
    </w:p>
    <w:p w14:paraId="698FA51B" w14:textId="748691D5" w:rsidR="00A35616" w:rsidRPr="00A35616" w:rsidRDefault="00A35616" w:rsidP="00A35616">
      <w:pPr>
        <w:jc w:val="center"/>
        <w:rPr>
          <w:b/>
          <w:bCs/>
          <w:sz w:val="22"/>
        </w:rPr>
      </w:pPr>
      <w:r w:rsidRPr="00A35616">
        <w:rPr>
          <w:b/>
          <w:bCs/>
          <w:sz w:val="22"/>
        </w:rPr>
        <w:t>STRUMENTI E IDEE PER ABITARE IL FUTURO</w:t>
      </w:r>
    </w:p>
    <w:p w14:paraId="45071A68" w14:textId="77777777" w:rsidR="00A35616" w:rsidRDefault="00A35616" w:rsidP="004B4915">
      <w:pPr>
        <w:rPr>
          <w:sz w:val="22"/>
        </w:rPr>
      </w:pPr>
    </w:p>
    <w:p w14:paraId="7D7C58B1" w14:textId="1073C988" w:rsidR="004B4915" w:rsidRPr="00DD7681" w:rsidRDefault="004B4915" w:rsidP="004B4915">
      <w:pPr>
        <w:rPr>
          <w:sz w:val="22"/>
        </w:rPr>
      </w:pPr>
      <w:r w:rsidRPr="004B4915">
        <w:rPr>
          <w:sz w:val="22"/>
        </w:rPr>
        <w:t>L’emergenza abitativa in Italia non riguarda più soltanto i nuclei più fragili, ma coinvolge anche la cosiddetta “fascia grigia”, con redditi troppo alti per accedere all’edilizia popolare e troppo bassi per sostenere i costi del mercato libero.</w:t>
      </w:r>
    </w:p>
    <w:p w14:paraId="731F32CC" w14:textId="1DA0BBBF" w:rsidR="004E47B3" w:rsidRPr="00DD7681" w:rsidRDefault="004B4915" w:rsidP="004B4915">
      <w:pPr>
        <w:rPr>
          <w:sz w:val="22"/>
        </w:rPr>
      </w:pPr>
      <w:r w:rsidRPr="004B4915">
        <w:rPr>
          <w:sz w:val="22"/>
        </w:rPr>
        <w:t xml:space="preserve">A livello nazionale si registra una forte pressione demografica sulle città metropolitane, dove la domanda </w:t>
      </w:r>
      <w:r w:rsidRPr="00DD7681">
        <w:rPr>
          <w:sz w:val="22"/>
        </w:rPr>
        <w:t>continua a crescere</w:t>
      </w:r>
      <w:r w:rsidRPr="004B4915">
        <w:rPr>
          <w:sz w:val="22"/>
        </w:rPr>
        <w:t xml:space="preserve">, mentre </w:t>
      </w:r>
      <w:r w:rsidR="004E47B3" w:rsidRPr="00DD7681">
        <w:rPr>
          <w:sz w:val="22"/>
        </w:rPr>
        <w:t xml:space="preserve">si spopolano </w:t>
      </w:r>
      <w:r w:rsidRPr="004B4915">
        <w:rPr>
          <w:sz w:val="22"/>
        </w:rPr>
        <w:t>le aree interne e i piccoli centri,</w:t>
      </w:r>
      <w:r w:rsidR="001D2761">
        <w:rPr>
          <w:sz w:val="22"/>
        </w:rPr>
        <w:t xml:space="preserve"> dove</w:t>
      </w:r>
      <w:r w:rsidRPr="004B4915">
        <w:rPr>
          <w:sz w:val="22"/>
        </w:rPr>
        <w:t xml:space="preserve"> </w:t>
      </w:r>
      <w:r w:rsidR="004E47B3" w:rsidRPr="00DD7681">
        <w:rPr>
          <w:sz w:val="22"/>
        </w:rPr>
        <w:t>il</w:t>
      </w:r>
      <w:r w:rsidRPr="004B4915">
        <w:rPr>
          <w:sz w:val="22"/>
        </w:rPr>
        <w:t xml:space="preserve"> patrimonio edilizio </w:t>
      </w:r>
      <w:r w:rsidR="004E47B3" w:rsidRPr="00DD7681">
        <w:rPr>
          <w:sz w:val="22"/>
        </w:rPr>
        <w:t>viene lasciato inutilizzato</w:t>
      </w:r>
      <w:r w:rsidRPr="004B4915">
        <w:rPr>
          <w:sz w:val="22"/>
        </w:rPr>
        <w:t xml:space="preserve">. </w:t>
      </w:r>
      <w:r w:rsidR="004E47B3" w:rsidRPr="00DD7681">
        <w:rPr>
          <w:sz w:val="22"/>
        </w:rPr>
        <w:t>A</w:t>
      </w:r>
      <w:r w:rsidRPr="004B4915">
        <w:rPr>
          <w:sz w:val="22"/>
        </w:rPr>
        <w:t xml:space="preserve"> questo quadro si aggiunge una marcata carenza di edilizia residenziale pubblica rispetto agli altri Paesi europei: </w:t>
      </w:r>
      <w:r w:rsidR="0058672A">
        <w:rPr>
          <w:sz w:val="22"/>
        </w:rPr>
        <w:t>lo stock</w:t>
      </w:r>
      <w:r w:rsidRPr="004B4915">
        <w:rPr>
          <w:sz w:val="22"/>
        </w:rPr>
        <w:t xml:space="preserve"> di alloggi ERP è</w:t>
      </w:r>
      <w:r w:rsidR="004E47B3" w:rsidRPr="00DD7681">
        <w:rPr>
          <w:sz w:val="22"/>
        </w:rPr>
        <w:t xml:space="preserve"> </w:t>
      </w:r>
      <w:r w:rsidR="0058672A">
        <w:rPr>
          <w:sz w:val="22"/>
        </w:rPr>
        <w:t>esiguo</w:t>
      </w:r>
      <w:r w:rsidRPr="004B4915">
        <w:rPr>
          <w:sz w:val="22"/>
        </w:rPr>
        <w:t xml:space="preserve"> e una parte significativa resta sfitto per necessità di interventi di manutenzione straordinaria. </w:t>
      </w:r>
    </w:p>
    <w:p w14:paraId="4A56B91E" w14:textId="294F0E44" w:rsidR="004B4915" w:rsidRPr="004B4915" w:rsidRDefault="004B4915" w:rsidP="004B4915">
      <w:pPr>
        <w:rPr>
          <w:sz w:val="22"/>
        </w:rPr>
      </w:pPr>
      <w:r w:rsidRPr="004B4915">
        <w:rPr>
          <w:sz w:val="22"/>
        </w:rPr>
        <w:t xml:space="preserve">Per rispondere a queste esigenze diversificate, il Piano Casa Italia prevede modelli innovativi come il </w:t>
      </w:r>
      <w:proofErr w:type="spellStart"/>
      <w:r w:rsidRPr="004B4915">
        <w:rPr>
          <w:sz w:val="22"/>
        </w:rPr>
        <w:t>rent</w:t>
      </w:r>
      <w:proofErr w:type="spellEnd"/>
      <w:r w:rsidRPr="004B4915">
        <w:rPr>
          <w:sz w:val="22"/>
        </w:rPr>
        <w:t xml:space="preserve"> to </w:t>
      </w:r>
      <w:proofErr w:type="spellStart"/>
      <w:r w:rsidRPr="004B4915">
        <w:rPr>
          <w:sz w:val="22"/>
        </w:rPr>
        <w:t>buy</w:t>
      </w:r>
      <w:proofErr w:type="spellEnd"/>
      <w:r w:rsidRPr="004B4915">
        <w:rPr>
          <w:sz w:val="22"/>
        </w:rPr>
        <w:t xml:space="preserve"> </w:t>
      </w:r>
      <w:r w:rsidR="004E47B3" w:rsidRPr="00DD7681">
        <w:rPr>
          <w:sz w:val="22"/>
        </w:rPr>
        <w:t>o</w:t>
      </w:r>
      <w:r w:rsidRPr="004B4915">
        <w:rPr>
          <w:sz w:val="22"/>
        </w:rPr>
        <w:t xml:space="preserve"> il cohousing, destinati a specifiche categorie quali giovani, giovani coppie, genitori separati e anziani.</w:t>
      </w:r>
    </w:p>
    <w:p w14:paraId="764514BB" w14:textId="77777777" w:rsidR="004E47B3" w:rsidRPr="00DD7681" w:rsidRDefault="004B4915" w:rsidP="004B4915">
      <w:pPr>
        <w:rPr>
          <w:sz w:val="22"/>
        </w:rPr>
      </w:pPr>
      <w:r w:rsidRPr="004B4915">
        <w:rPr>
          <w:sz w:val="22"/>
        </w:rPr>
        <w:t xml:space="preserve">Rispetto al contesto nazionale, l’Emilia-Romagna presenta dinamiche diverse: è una Regione che continua a crescere e a essere attrattiva. Aumenta non solo la popolazione, ma soprattutto il numero delle famiglie e, di conseguenza, il fabbisogno abitativo. </w:t>
      </w:r>
    </w:p>
    <w:p w14:paraId="291460EB" w14:textId="77777777" w:rsidR="004E47B3" w:rsidRPr="004257DC" w:rsidRDefault="004B4915" w:rsidP="004B4915">
      <w:pPr>
        <w:rPr>
          <w:sz w:val="22"/>
        </w:rPr>
      </w:pPr>
      <w:r w:rsidRPr="004B4915">
        <w:rPr>
          <w:sz w:val="22"/>
        </w:rPr>
        <w:t xml:space="preserve">La ricerca CRESME </w:t>
      </w:r>
      <w:r w:rsidRPr="004B4915">
        <w:rPr>
          <w:i/>
          <w:iCs/>
          <w:sz w:val="22"/>
        </w:rPr>
        <w:t>“Residenza e occupazione in Emilia-Romagna: costruire risposte per generare futuro”</w:t>
      </w:r>
      <w:r w:rsidRPr="004B4915">
        <w:rPr>
          <w:sz w:val="22"/>
        </w:rPr>
        <w:t xml:space="preserve"> stima che, entro il 2033, nei soli dieci Comuni capoluogo ci saranno 55 mila famiglie in più rispetto al 2023. </w:t>
      </w:r>
      <w:r w:rsidR="004E47B3" w:rsidRPr="00DD7681">
        <w:rPr>
          <w:sz w:val="22"/>
        </w:rPr>
        <w:t>Se a queste si sommano le domande in graduatoria ERP, che nel 2023</w:t>
      </w:r>
      <w:r w:rsidRPr="004B4915">
        <w:rPr>
          <w:sz w:val="22"/>
        </w:rPr>
        <w:t xml:space="preserve"> </w:t>
      </w:r>
      <w:r w:rsidR="004E47B3" w:rsidRPr="004257DC">
        <w:rPr>
          <w:sz w:val="22"/>
        </w:rPr>
        <w:t xml:space="preserve">ammontano a </w:t>
      </w:r>
      <w:r w:rsidRPr="004257DC">
        <w:rPr>
          <w:sz w:val="22"/>
        </w:rPr>
        <w:t>14.000 domande</w:t>
      </w:r>
      <w:r w:rsidR="004E47B3" w:rsidRPr="004257DC">
        <w:rPr>
          <w:sz w:val="22"/>
        </w:rPr>
        <w:t xml:space="preserve">, </w:t>
      </w:r>
      <w:r w:rsidRPr="004257DC">
        <w:rPr>
          <w:sz w:val="22"/>
        </w:rPr>
        <w:t>nei prossimi dieci anni serviranno circa 69 mila abitazioni aggiuntive</w:t>
      </w:r>
      <w:r w:rsidR="004E47B3" w:rsidRPr="004257DC">
        <w:rPr>
          <w:sz w:val="22"/>
        </w:rPr>
        <w:t xml:space="preserve">, per </w:t>
      </w:r>
      <w:r w:rsidRPr="004257DC">
        <w:rPr>
          <w:sz w:val="22"/>
        </w:rPr>
        <w:t>una media di 6.900 all’anno</w:t>
      </w:r>
      <w:r w:rsidR="004E47B3" w:rsidRPr="004257DC">
        <w:rPr>
          <w:sz w:val="22"/>
        </w:rPr>
        <w:t>:</w:t>
      </w:r>
      <w:r w:rsidRPr="004257DC">
        <w:rPr>
          <w:sz w:val="22"/>
        </w:rPr>
        <w:t xml:space="preserve"> ben superiori a quelle che si costruiscono o si rigenerano attualmente.</w:t>
      </w:r>
    </w:p>
    <w:p w14:paraId="4331B2EB" w14:textId="3E81A27F" w:rsidR="00CC4B5B" w:rsidRPr="004257DC" w:rsidRDefault="00CC4B5B" w:rsidP="004B4915">
      <w:pPr>
        <w:rPr>
          <w:sz w:val="22"/>
        </w:rPr>
      </w:pPr>
      <w:r w:rsidRPr="004257DC">
        <w:rPr>
          <w:sz w:val="22"/>
        </w:rPr>
        <w:t>Costruire</w:t>
      </w:r>
      <w:r w:rsidR="001018AF">
        <w:rPr>
          <w:sz w:val="22"/>
        </w:rPr>
        <w:t>, soprattutto</w:t>
      </w:r>
      <w:r w:rsidR="001018AF" w:rsidRPr="004257DC">
        <w:rPr>
          <w:sz w:val="22"/>
        </w:rPr>
        <w:t xml:space="preserve"> intervenendo sul territorio urbanizzato, </w:t>
      </w:r>
      <w:r w:rsidRPr="004257DC">
        <w:rPr>
          <w:sz w:val="22"/>
        </w:rPr>
        <w:t>è oggi eccessivamente</w:t>
      </w:r>
      <w:r w:rsidR="001018AF">
        <w:rPr>
          <w:sz w:val="22"/>
        </w:rPr>
        <w:t xml:space="preserve"> </w:t>
      </w:r>
      <w:r w:rsidR="001018AF" w:rsidRPr="004257DC">
        <w:rPr>
          <w:sz w:val="22"/>
        </w:rPr>
        <w:t>costoso</w:t>
      </w:r>
      <w:r w:rsidR="001018AF">
        <w:rPr>
          <w:sz w:val="22"/>
        </w:rPr>
        <w:t xml:space="preserve"> e</w:t>
      </w:r>
      <w:r w:rsidRPr="004257DC">
        <w:rPr>
          <w:sz w:val="22"/>
        </w:rPr>
        <w:t xml:space="preserve"> compless</w:t>
      </w:r>
      <w:r w:rsidR="001018AF">
        <w:rPr>
          <w:sz w:val="22"/>
        </w:rPr>
        <w:t>o</w:t>
      </w:r>
      <w:r w:rsidR="003215C1">
        <w:rPr>
          <w:sz w:val="22"/>
        </w:rPr>
        <w:t>, anche a causa di</w:t>
      </w:r>
      <w:r w:rsidRPr="004257DC">
        <w:rPr>
          <w:sz w:val="22"/>
        </w:rPr>
        <w:t xml:space="preserve"> norme nazionali </w:t>
      </w:r>
      <w:r w:rsidR="003215C1">
        <w:rPr>
          <w:sz w:val="22"/>
        </w:rPr>
        <w:t xml:space="preserve">che </w:t>
      </w:r>
      <w:r w:rsidRPr="004257DC">
        <w:rPr>
          <w:sz w:val="22"/>
        </w:rPr>
        <w:t>risalgono a una fase storica in cui le città si espandevano, mentre l’esigenza attuale è rigenerare il patrimonio esistente.</w:t>
      </w:r>
    </w:p>
    <w:p w14:paraId="7C0881F8" w14:textId="64A9CC24" w:rsidR="004B4915" w:rsidRPr="004257DC" w:rsidRDefault="00CC4B5B" w:rsidP="004B4915">
      <w:pPr>
        <w:rPr>
          <w:sz w:val="22"/>
        </w:rPr>
      </w:pPr>
      <w:r w:rsidRPr="004257DC">
        <w:rPr>
          <w:sz w:val="22"/>
        </w:rPr>
        <w:t xml:space="preserve">La Regione dispone di una legge urbanistica innovativa (LR </w:t>
      </w:r>
      <w:r w:rsidR="004B4915" w:rsidRPr="004257DC">
        <w:rPr>
          <w:sz w:val="22"/>
        </w:rPr>
        <w:t>24/2017</w:t>
      </w:r>
      <w:r w:rsidRPr="004257DC">
        <w:rPr>
          <w:sz w:val="22"/>
        </w:rPr>
        <w:t xml:space="preserve">), tuttavia, come emerso anche nel recente percorso formativo </w:t>
      </w:r>
      <w:r w:rsidRPr="004257DC">
        <w:rPr>
          <w:i/>
          <w:iCs/>
          <w:sz w:val="22"/>
        </w:rPr>
        <w:t>“Progettare, Disegnare, Valutare gli Accordi Operativi”</w:t>
      </w:r>
      <w:r w:rsidRPr="004257DC">
        <w:rPr>
          <w:sz w:val="22"/>
        </w:rPr>
        <w:t>, i Piani Economico-Finanziari non risultano sostenibili quando devono prevedere quote elevate di ERS in locazione a lungo termine.</w:t>
      </w:r>
    </w:p>
    <w:p w14:paraId="7B1D0981" w14:textId="4BB7F9D2" w:rsidR="00A35616" w:rsidRPr="00307C4F" w:rsidRDefault="004B4915" w:rsidP="004B4915">
      <w:pPr>
        <w:rPr>
          <w:sz w:val="22"/>
        </w:rPr>
      </w:pPr>
      <w:r w:rsidRPr="004257DC">
        <w:rPr>
          <w:sz w:val="22"/>
        </w:rPr>
        <w:t>Per questo</w:t>
      </w:r>
      <w:r w:rsidR="00141B3D">
        <w:rPr>
          <w:sz w:val="22"/>
        </w:rPr>
        <w:t xml:space="preserve">, </w:t>
      </w:r>
      <w:r w:rsidR="00DD7681" w:rsidRPr="004257DC">
        <w:rPr>
          <w:sz w:val="22"/>
        </w:rPr>
        <w:t>c’è la necessità di</w:t>
      </w:r>
      <w:r w:rsidRPr="004257DC">
        <w:rPr>
          <w:sz w:val="22"/>
        </w:rPr>
        <w:t xml:space="preserve"> nuove</w:t>
      </w:r>
      <w:r w:rsidRPr="00307C4F">
        <w:rPr>
          <w:sz w:val="22"/>
        </w:rPr>
        <w:t xml:space="preserve"> soluzioni.</w:t>
      </w:r>
      <w:r w:rsidR="00A35616" w:rsidRPr="00307C4F">
        <w:rPr>
          <w:sz w:val="22"/>
        </w:rPr>
        <w:t xml:space="preserve"> </w:t>
      </w:r>
    </w:p>
    <w:p w14:paraId="4D5C8CC3" w14:textId="025B222B" w:rsidR="00A35616" w:rsidRPr="00A35616" w:rsidRDefault="00A35616" w:rsidP="00A35616">
      <w:pPr>
        <w:rPr>
          <w:sz w:val="22"/>
        </w:rPr>
      </w:pPr>
      <w:r w:rsidRPr="00307C4F">
        <w:rPr>
          <w:sz w:val="22"/>
        </w:rPr>
        <w:t xml:space="preserve">L’ERS è, per definizione, un tema sociale che </w:t>
      </w:r>
      <w:r w:rsidRPr="00A35616">
        <w:rPr>
          <w:sz w:val="22"/>
        </w:rPr>
        <w:t>riguarda indistintamente pubblico e privato</w:t>
      </w:r>
      <w:r w:rsidR="00307C4F" w:rsidRPr="00307C4F">
        <w:rPr>
          <w:sz w:val="22"/>
        </w:rPr>
        <w:t xml:space="preserve"> e può essere affrontato efficacemente solo con il coinvolgimento e la partecipazione di tutti gli attori</w:t>
      </w:r>
      <w:r w:rsidRPr="00A35616">
        <w:rPr>
          <w:sz w:val="22"/>
        </w:rPr>
        <w:t>.</w:t>
      </w:r>
    </w:p>
    <w:p w14:paraId="50B9273D" w14:textId="77777777" w:rsidR="00A35616" w:rsidRDefault="00A35616" w:rsidP="004B4915">
      <w:pPr>
        <w:rPr>
          <w:sz w:val="22"/>
        </w:rPr>
      </w:pPr>
      <w:r>
        <w:rPr>
          <w:sz w:val="22"/>
        </w:rPr>
        <w:t>Ai fini della sostenibilità economica degli interventi, u</w:t>
      </w:r>
      <w:r w:rsidR="004B4915" w:rsidRPr="004B4915">
        <w:rPr>
          <w:sz w:val="22"/>
        </w:rPr>
        <w:t xml:space="preserve">n </w:t>
      </w:r>
      <w:r w:rsidR="005057FC">
        <w:rPr>
          <w:sz w:val="22"/>
        </w:rPr>
        <w:t>primo fattore significativo è la possibilità di disporre gratuitamente di</w:t>
      </w:r>
      <w:r w:rsidR="004B4915" w:rsidRPr="004B4915">
        <w:rPr>
          <w:b/>
          <w:bCs/>
          <w:sz w:val="22"/>
        </w:rPr>
        <w:t xml:space="preserve"> beni immobili pubblici</w:t>
      </w:r>
      <w:r w:rsidR="005057FC">
        <w:rPr>
          <w:b/>
          <w:bCs/>
          <w:sz w:val="22"/>
        </w:rPr>
        <w:t xml:space="preserve">, </w:t>
      </w:r>
      <w:r w:rsidR="004B4915" w:rsidRPr="004B4915">
        <w:rPr>
          <w:sz w:val="22"/>
        </w:rPr>
        <w:t>siano essi edifici da ri</w:t>
      </w:r>
      <w:r w:rsidR="001D45AA">
        <w:rPr>
          <w:sz w:val="22"/>
        </w:rPr>
        <w:t>qualificare</w:t>
      </w:r>
      <w:r w:rsidR="004B4915" w:rsidRPr="004B4915">
        <w:rPr>
          <w:sz w:val="22"/>
        </w:rPr>
        <w:t xml:space="preserve"> o aree</w:t>
      </w:r>
      <w:r w:rsidR="00DD7681" w:rsidRPr="00DD7681">
        <w:rPr>
          <w:sz w:val="22"/>
        </w:rPr>
        <w:t xml:space="preserve"> libere</w:t>
      </w:r>
      <w:r w:rsidR="005057FC">
        <w:rPr>
          <w:sz w:val="22"/>
        </w:rPr>
        <w:t>, che</w:t>
      </w:r>
      <w:r w:rsidR="004B4915" w:rsidRPr="004B4915">
        <w:rPr>
          <w:sz w:val="22"/>
        </w:rPr>
        <w:t xml:space="preserve"> consent</w:t>
      </w:r>
      <w:r w:rsidR="001D45AA">
        <w:rPr>
          <w:sz w:val="22"/>
        </w:rPr>
        <w:t>e</w:t>
      </w:r>
      <w:r w:rsidR="004B4915" w:rsidRPr="004B4915">
        <w:rPr>
          <w:sz w:val="22"/>
        </w:rPr>
        <w:t xml:space="preserve"> di ridurre sensibilmente il costo iniziale dell’operazione</w:t>
      </w:r>
      <w:r w:rsidR="00DD7681" w:rsidRPr="00DD7681">
        <w:rPr>
          <w:sz w:val="22"/>
        </w:rPr>
        <w:t xml:space="preserve">. </w:t>
      </w:r>
    </w:p>
    <w:p w14:paraId="1A105868" w14:textId="6D96E417" w:rsidR="004B4915" w:rsidRPr="004B4915" w:rsidRDefault="004B4915" w:rsidP="004B4915">
      <w:pPr>
        <w:rPr>
          <w:sz w:val="22"/>
        </w:rPr>
      </w:pPr>
      <w:r w:rsidRPr="004B4915">
        <w:rPr>
          <w:sz w:val="22"/>
        </w:rPr>
        <w:lastRenderedPageBreak/>
        <w:t xml:space="preserve">Un secondo elemento chiave è la </w:t>
      </w:r>
      <w:r w:rsidRPr="004B4915">
        <w:rPr>
          <w:b/>
          <w:bCs/>
          <w:sz w:val="22"/>
        </w:rPr>
        <w:t>diversificazione dell’offerta abitativa</w:t>
      </w:r>
      <w:r w:rsidR="005057FC">
        <w:rPr>
          <w:sz w:val="22"/>
        </w:rPr>
        <w:t>:</w:t>
      </w:r>
      <w:r w:rsidRPr="004B4915">
        <w:rPr>
          <w:sz w:val="22"/>
        </w:rPr>
        <w:t xml:space="preserve"> </w:t>
      </w:r>
      <w:r w:rsidR="005057FC">
        <w:rPr>
          <w:sz w:val="22"/>
        </w:rPr>
        <w:t>u</w:t>
      </w:r>
      <w:r w:rsidRPr="004B4915">
        <w:rPr>
          <w:sz w:val="22"/>
        </w:rPr>
        <w:t>n PEF basato esclusivamente sull’affitto a lungo termine non regge</w:t>
      </w:r>
      <w:r w:rsidR="005057FC">
        <w:rPr>
          <w:sz w:val="22"/>
        </w:rPr>
        <w:t xml:space="preserve"> e d</w:t>
      </w:r>
      <w:r w:rsidRPr="004B4915">
        <w:rPr>
          <w:sz w:val="22"/>
        </w:rPr>
        <w:t>iventa quindi necessario combinare più soluzioni</w:t>
      </w:r>
      <w:r w:rsidR="005057FC">
        <w:rPr>
          <w:sz w:val="22"/>
        </w:rPr>
        <w:t>, come</w:t>
      </w:r>
      <w:r w:rsidRPr="004B4915">
        <w:rPr>
          <w:sz w:val="22"/>
        </w:rPr>
        <w:t xml:space="preserve"> vendita convenzionata, affitto, affitto con riscatto e vendita a mercato. Questa articolazione permette </w:t>
      </w:r>
      <w:r w:rsidR="00DD7681" w:rsidRPr="00DD7681">
        <w:rPr>
          <w:sz w:val="22"/>
        </w:rPr>
        <w:t>di intercettare i bisogni di una platea molto eterogenea e</w:t>
      </w:r>
      <w:r w:rsidRPr="004B4915">
        <w:rPr>
          <w:sz w:val="22"/>
        </w:rPr>
        <w:t>, allo stesso tempo, di generare flussi economici più equilibrati.</w:t>
      </w:r>
    </w:p>
    <w:p w14:paraId="001C45D5" w14:textId="7AF0EC68" w:rsidR="004B4915" w:rsidRPr="004B4915" w:rsidRDefault="004B4915" w:rsidP="004B4915">
      <w:pPr>
        <w:rPr>
          <w:sz w:val="22"/>
        </w:rPr>
      </w:pPr>
      <w:r w:rsidRPr="004B4915">
        <w:rPr>
          <w:sz w:val="22"/>
        </w:rPr>
        <w:t xml:space="preserve">Poiché molti interventi di ERS, soprattutto </w:t>
      </w:r>
      <w:r w:rsidR="00DD7681" w:rsidRPr="00DD7681">
        <w:rPr>
          <w:sz w:val="22"/>
        </w:rPr>
        <w:t>se non riguardano le grandi città</w:t>
      </w:r>
      <w:r w:rsidRPr="004B4915">
        <w:rPr>
          <w:sz w:val="22"/>
        </w:rPr>
        <w:t xml:space="preserve">, non risultano attrattivi per gli investitori, occorre </w:t>
      </w:r>
      <w:r w:rsidR="00DD7681" w:rsidRPr="002E1E92">
        <w:rPr>
          <w:b/>
          <w:bCs/>
          <w:sz w:val="22"/>
        </w:rPr>
        <w:t>coinvolgere</w:t>
      </w:r>
      <w:r w:rsidRPr="002E1E92">
        <w:rPr>
          <w:b/>
          <w:bCs/>
          <w:sz w:val="22"/>
        </w:rPr>
        <w:t xml:space="preserve"> il risparmio privato e i piccoli investitori</w:t>
      </w:r>
      <w:r w:rsidRPr="001018AF">
        <w:rPr>
          <w:sz w:val="22"/>
        </w:rPr>
        <w:t xml:space="preserve">. Strumenti come la </w:t>
      </w:r>
      <w:r w:rsidRPr="001018AF">
        <w:rPr>
          <w:i/>
          <w:iCs/>
          <w:sz w:val="22"/>
        </w:rPr>
        <w:t xml:space="preserve">cartolarizzazione </w:t>
      </w:r>
      <w:r w:rsidR="00DD7681" w:rsidRPr="00DD7681">
        <w:rPr>
          <w:sz w:val="22"/>
        </w:rPr>
        <w:t>permettono di ampliare la platea degli investitori</w:t>
      </w:r>
      <w:r w:rsidRPr="004B4915">
        <w:rPr>
          <w:sz w:val="22"/>
        </w:rPr>
        <w:t xml:space="preserve">, ma per funzionare </w:t>
      </w:r>
      <w:r w:rsidR="00DD7681" w:rsidRPr="00DD7681">
        <w:rPr>
          <w:sz w:val="22"/>
        </w:rPr>
        <w:t>necessitano di</w:t>
      </w:r>
      <w:r w:rsidRPr="004B4915">
        <w:rPr>
          <w:sz w:val="22"/>
        </w:rPr>
        <w:t xml:space="preserve"> una </w:t>
      </w:r>
      <w:r w:rsidRPr="004B4915">
        <w:rPr>
          <w:b/>
          <w:bCs/>
          <w:sz w:val="22"/>
        </w:rPr>
        <w:t>garanzia pubblica</w:t>
      </w:r>
      <w:r w:rsidRPr="004B4915">
        <w:rPr>
          <w:sz w:val="22"/>
        </w:rPr>
        <w:t>, indispensabile per ridurre il rischio percepito</w:t>
      </w:r>
      <w:r w:rsidR="00DD7681" w:rsidRPr="00DD7681">
        <w:rPr>
          <w:sz w:val="22"/>
        </w:rPr>
        <w:t xml:space="preserve"> dagli investitori</w:t>
      </w:r>
      <w:r w:rsidRPr="004B4915">
        <w:rPr>
          <w:sz w:val="22"/>
        </w:rPr>
        <w:t xml:space="preserve"> e rendere queste operazioni competitive rispetto ad altre opportunità di investimento.</w:t>
      </w:r>
    </w:p>
    <w:p w14:paraId="57AFAAC2" w14:textId="0E3B3CDB" w:rsidR="004B4915" w:rsidRPr="004B4915" w:rsidRDefault="004B4915" w:rsidP="004B4915">
      <w:pPr>
        <w:rPr>
          <w:sz w:val="22"/>
        </w:rPr>
      </w:pPr>
      <w:r w:rsidRPr="004B4915">
        <w:rPr>
          <w:sz w:val="22"/>
        </w:rPr>
        <w:t xml:space="preserve">La cornice naturale in cui queste soluzioni possono essere attivate è il </w:t>
      </w:r>
      <w:r w:rsidRPr="004B4915">
        <w:rPr>
          <w:b/>
          <w:bCs/>
          <w:sz w:val="22"/>
        </w:rPr>
        <w:t>Partenariato Pubblico-Privato (PPP)</w:t>
      </w:r>
      <w:r w:rsidR="00DD7681" w:rsidRPr="00DD7681">
        <w:rPr>
          <w:sz w:val="22"/>
        </w:rPr>
        <w:t xml:space="preserve">, che </w:t>
      </w:r>
      <w:r w:rsidRPr="004B4915">
        <w:rPr>
          <w:sz w:val="22"/>
        </w:rPr>
        <w:t>consente di integrare obiettivi sociali e sostenibilità economica, favorendo un aumento significativo dell’offerta di alloggi accessibili.</w:t>
      </w:r>
    </w:p>
    <w:p w14:paraId="0936BF08" w14:textId="0AE22E23" w:rsidR="004B4915" w:rsidRPr="004B4915" w:rsidRDefault="004B4915" w:rsidP="004B4915">
      <w:pPr>
        <w:rPr>
          <w:sz w:val="22"/>
        </w:rPr>
      </w:pPr>
      <w:r w:rsidRPr="004B4915">
        <w:rPr>
          <w:sz w:val="22"/>
        </w:rPr>
        <w:t xml:space="preserve">In sintesi, dare una risposta concreta all’emergenza abitativa significa costruire un modello in cui pubblico e privato </w:t>
      </w:r>
      <w:r w:rsidR="00307C4F">
        <w:rPr>
          <w:sz w:val="22"/>
        </w:rPr>
        <w:t>collaborano</w:t>
      </w:r>
      <w:r w:rsidRPr="004B4915">
        <w:rPr>
          <w:sz w:val="22"/>
        </w:rPr>
        <w:t>, ciascuno con un ruolo specifico ma complementare, per garantire a tutti il diritto fondamentale alla casa.</w:t>
      </w:r>
    </w:p>
    <w:p w14:paraId="6D457C1B" w14:textId="77777777" w:rsidR="002626EE" w:rsidRPr="004B4915" w:rsidRDefault="002626EE" w:rsidP="00307C4F">
      <w:pPr>
        <w:jc w:val="left"/>
      </w:pPr>
    </w:p>
    <w:sectPr w:rsidR="002626EE" w:rsidRPr="004B4915" w:rsidSect="00CF2D04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660E" w14:textId="77777777" w:rsidR="00591171" w:rsidRDefault="00591171" w:rsidP="005D39D4">
      <w:pPr>
        <w:spacing w:after="0" w:line="240" w:lineRule="auto"/>
      </w:pPr>
      <w:r>
        <w:separator/>
      </w:r>
    </w:p>
  </w:endnote>
  <w:endnote w:type="continuationSeparator" w:id="0">
    <w:p w14:paraId="5E3D602C" w14:textId="77777777" w:rsidR="00591171" w:rsidRDefault="00591171" w:rsidP="005D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4E7F" w14:textId="77777777" w:rsidR="00725368" w:rsidRPr="00725368" w:rsidRDefault="00AD3B13" w:rsidP="00725368">
    <w:pPr>
      <w:tabs>
        <w:tab w:val="center" w:pos="4819"/>
        <w:tab w:val="right" w:pos="9638"/>
      </w:tabs>
      <w:spacing w:after="0" w:line="240" w:lineRule="auto"/>
      <w:jc w:val="left"/>
      <w:rPr>
        <w:rFonts w:eastAsia="Calibri" w:cs="Arial"/>
        <w:b/>
        <w:color w:val="808080"/>
        <w:sz w:val="18"/>
      </w:rPr>
    </w:pPr>
    <w:r>
      <w:rPr>
        <w:rFonts w:eastAsia="Calibri" w:cs="Arial"/>
        <w:b/>
        <w:noProof/>
        <w:color w:val="808080"/>
        <w:sz w:val="18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5068D" wp14:editId="68091A00">
              <wp:simplePos x="0" y="0"/>
              <wp:positionH relativeFrom="column">
                <wp:posOffset>0</wp:posOffset>
              </wp:positionH>
              <wp:positionV relativeFrom="paragraph">
                <wp:posOffset>-3752</wp:posOffset>
              </wp:positionV>
              <wp:extent cx="5417127" cy="0"/>
              <wp:effectExtent l="0" t="0" r="0" b="0"/>
              <wp:wrapNone/>
              <wp:docPr id="27631513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7127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D86CDC3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3pt" to="426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" strokecolor="#7f7f7f [1612]" strokeweight=".5pt">
              <v:stroke joinstyle="miter"/>
            </v:line>
          </w:pict>
        </mc:Fallback>
      </mc:AlternateContent>
    </w:r>
    <w:r w:rsidR="00725368" w:rsidRPr="00725368">
      <w:rPr>
        <w:rFonts w:eastAsia="Calibri" w:cs="Arial"/>
        <w:b/>
        <w:color w:val="808080"/>
        <w:sz w:val="18"/>
      </w:rPr>
      <w:t>Unione Regionale Costruttori Edili dell’Emilia-Romagna</w:t>
    </w:r>
  </w:p>
  <w:p w14:paraId="5C9F3175" w14:textId="77777777" w:rsidR="00725368" w:rsidRPr="00725368" w:rsidRDefault="00725368" w:rsidP="00725368">
    <w:pPr>
      <w:tabs>
        <w:tab w:val="center" w:pos="4819"/>
        <w:tab w:val="right" w:pos="9638"/>
      </w:tabs>
      <w:spacing w:after="0" w:line="240" w:lineRule="auto"/>
      <w:rPr>
        <w:rFonts w:eastAsia="Calibri" w:cs="Arial"/>
        <w:color w:val="A6A6A6"/>
        <w:sz w:val="16"/>
        <w:szCs w:val="16"/>
      </w:rPr>
    </w:pPr>
    <w:r w:rsidRPr="00725368">
      <w:rPr>
        <w:rFonts w:eastAsia="Calibri" w:cs="Arial"/>
        <w:color w:val="A6A6A6"/>
        <w:sz w:val="16"/>
        <w:szCs w:val="16"/>
      </w:rPr>
      <w:t xml:space="preserve">via Ferruccio Parri, 31 - 40128 Bologna Tel. 051 6311464 Fax 051 4150266 CF 80080670377 </w:t>
    </w:r>
    <w:hyperlink r:id="rId1" w:history="1">
      <w:r w:rsidRPr="00725368">
        <w:rPr>
          <w:rFonts w:eastAsia="Calibri" w:cs="Arial"/>
          <w:color w:val="A6A6A6"/>
          <w:sz w:val="16"/>
          <w:szCs w:val="16"/>
          <w:u w:val="single"/>
        </w:rPr>
        <w:t>info@ance.emr.it</w:t>
      </w:r>
    </w:hyperlink>
    <w:r w:rsidRPr="00725368">
      <w:rPr>
        <w:rFonts w:eastAsia="Calibri" w:cs="Arial"/>
        <w:color w:val="A6A6A6"/>
        <w:sz w:val="16"/>
        <w:szCs w:val="16"/>
      </w:rPr>
      <w:t xml:space="preserve"> </w:t>
    </w:r>
  </w:p>
  <w:p w14:paraId="62392EBE" w14:textId="77777777" w:rsidR="00725368" w:rsidRPr="00AD3B13" w:rsidRDefault="00725368" w:rsidP="00725368">
    <w:pPr>
      <w:tabs>
        <w:tab w:val="center" w:pos="4819"/>
        <w:tab w:val="right" w:pos="9638"/>
      </w:tabs>
      <w:spacing w:after="0" w:line="240" w:lineRule="auto"/>
      <w:rPr>
        <w:rFonts w:eastAsia="Calibri" w:cs="Arial"/>
        <w:b/>
        <w:color w:val="A6A6A6"/>
        <w:sz w:val="16"/>
        <w:szCs w:val="16"/>
      </w:rPr>
    </w:pPr>
    <w:r w:rsidRPr="00725368">
      <w:rPr>
        <w:rFonts w:eastAsia="Calibri" w:cs="Arial"/>
        <w:b/>
        <w:color w:val="A6A6A6"/>
        <w:sz w:val="16"/>
        <w:szCs w:val="16"/>
      </w:rPr>
      <w:t>www.emiliaromagna.ance.it</w:t>
    </w:r>
  </w:p>
  <w:p w14:paraId="46C315AD" w14:textId="77777777" w:rsidR="00725368" w:rsidRPr="00725368" w:rsidRDefault="00AD3B13" w:rsidP="00AD3B13">
    <w:pPr>
      <w:tabs>
        <w:tab w:val="center" w:pos="4819"/>
        <w:tab w:val="right" w:pos="9638"/>
      </w:tabs>
      <w:spacing w:after="0" w:line="240" w:lineRule="auto"/>
      <w:jc w:val="center"/>
      <w:rPr>
        <w:rFonts w:eastAsia="Calibri" w:cs="Arial"/>
        <w:b/>
        <w:color w:val="A6A6A6"/>
        <w:sz w:val="20"/>
        <w:szCs w:val="20"/>
      </w:rPr>
    </w:pPr>
    <w:r w:rsidRPr="00AD3B13">
      <w:rPr>
        <w:rFonts w:eastAsia="Calibri" w:cs="Arial"/>
        <w:b/>
        <w:color w:val="A6A6A6"/>
        <w:sz w:val="20"/>
        <w:szCs w:val="20"/>
      </w:rPr>
      <w:fldChar w:fldCharType="begin"/>
    </w:r>
    <w:r w:rsidRPr="00AD3B13">
      <w:rPr>
        <w:rFonts w:eastAsia="Calibri" w:cs="Arial"/>
        <w:b/>
        <w:color w:val="A6A6A6"/>
        <w:sz w:val="20"/>
        <w:szCs w:val="20"/>
      </w:rPr>
      <w:instrText>PAGE   \* MERGEFORMAT</w:instrText>
    </w:r>
    <w:r w:rsidRPr="00AD3B13">
      <w:rPr>
        <w:rFonts w:eastAsia="Calibri" w:cs="Arial"/>
        <w:b/>
        <w:color w:val="A6A6A6"/>
        <w:sz w:val="20"/>
        <w:szCs w:val="20"/>
      </w:rPr>
      <w:fldChar w:fldCharType="separate"/>
    </w:r>
    <w:r w:rsidRPr="00AD3B13">
      <w:rPr>
        <w:rFonts w:eastAsia="Calibri" w:cs="Arial"/>
        <w:b/>
        <w:color w:val="A6A6A6"/>
        <w:sz w:val="20"/>
        <w:szCs w:val="20"/>
      </w:rPr>
      <w:t>1</w:t>
    </w:r>
    <w:r w:rsidRPr="00AD3B13">
      <w:rPr>
        <w:rFonts w:eastAsia="Calibri" w:cs="Arial"/>
        <w:b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8B3D" w14:textId="77777777" w:rsidR="00591171" w:rsidRDefault="00591171" w:rsidP="005D39D4">
      <w:pPr>
        <w:spacing w:after="0" w:line="240" w:lineRule="auto"/>
      </w:pPr>
      <w:r>
        <w:separator/>
      </w:r>
    </w:p>
  </w:footnote>
  <w:footnote w:type="continuationSeparator" w:id="0">
    <w:p w14:paraId="46F8FD76" w14:textId="77777777" w:rsidR="00591171" w:rsidRDefault="00591171" w:rsidP="005D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BA9F" w14:textId="77777777" w:rsidR="00725368" w:rsidRDefault="00725368">
    <w:pPr>
      <w:pStyle w:val="Intestazione"/>
    </w:pPr>
    <w:r>
      <w:rPr>
        <w:noProof/>
        <w:lang w:eastAsia="it-IT"/>
      </w:rPr>
      <w:drawing>
        <wp:inline distT="0" distB="0" distL="0" distR="0" wp14:anchorId="7509A296" wp14:editId="0DAF524D">
          <wp:extent cx="2722034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IA ROMAGNA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3275" cy="762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AC7"/>
    <w:multiLevelType w:val="hybridMultilevel"/>
    <w:tmpl w:val="07BE8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A85EC">
      <w:numFmt w:val="bullet"/>
      <w:lvlText w:val="•"/>
      <w:lvlJc w:val="left"/>
      <w:pPr>
        <w:ind w:left="1440" w:hanging="360"/>
      </w:pPr>
      <w:rPr>
        <w:rFonts w:ascii="Cambria Math" w:eastAsiaTheme="minorHAnsi" w:hAnsi="Cambria Math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57EF6"/>
    <w:multiLevelType w:val="hybridMultilevel"/>
    <w:tmpl w:val="D5409A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23B12"/>
    <w:multiLevelType w:val="hybridMultilevel"/>
    <w:tmpl w:val="B6E61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41D86"/>
    <w:multiLevelType w:val="hybridMultilevel"/>
    <w:tmpl w:val="95F08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5266C"/>
    <w:multiLevelType w:val="hybridMultilevel"/>
    <w:tmpl w:val="5ACCB040"/>
    <w:lvl w:ilvl="0" w:tplc="D23A8D68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53"/>
    <w:multiLevelType w:val="hybridMultilevel"/>
    <w:tmpl w:val="B664C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461AB"/>
    <w:multiLevelType w:val="hybridMultilevel"/>
    <w:tmpl w:val="CEF299E8"/>
    <w:lvl w:ilvl="0" w:tplc="5ED449BA">
      <w:start w:val="1198"/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074BA"/>
    <w:multiLevelType w:val="hybridMultilevel"/>
    <w:tmpl w:val="A1A6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86320"/>
    <w:multiLevelType w:val="hybridMultilevel"/>
    <w:tmpl w:val="F6E67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A1CA0"/>
    <w:multiLevelType w:val="hybridMultilevel"/>
    <w:tmpl w:val="17AEF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2094F"/>
    <w:multiLevelType w:val="hybridMultilevel"/>
    <w:tmpl w:val="3550941A"/>
    <w:lvl w:ilvl="0" w:tplc="C9E634C0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435F"/>
    <w:multiLevelType w:val="hybridMultilevel"/>
    <w:tmpl w:val="4064C5F0"/>
    <w:lvl w:ilvl="0" w:tplc="669E37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539CC"/>
    <w:multiLevelType w:val="hybridMultilevel"/>
    <w:tmpl w:val="348A0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52FC6"/>
    <w:multiLevelType w:val="hybridMultilevel"/>
    <w:tmpl w:val="0C1CC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86B78"/>
    <w:multiLevelType w:val="multilevel"/>
    <w:tmpl w:val="468A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229202">
    <w:abstractNumId w:val="11"/>
  </w:num>
  <w:num w:numId="2" w16cid:durableId="1939176623">
    <w:abstractNumId w:val="0"/>
  </w:num>
  <w:num w:numId="3" w16cid:durableId="139812098">
    <w:abstractNumId w:val="8"/>
  </w:num>
  <w:num w:numId="4" w16cid:durableId="310139666">
    <w:abstractNumId w:val="1"/>
  </w:num>
  <w:num w:numId="5" w16cid:durableId="913203612">
    <w:abstractNumId w:val="7"/>
  </w:num>
  <w:num w:numId="6" w16cid:durableId="1004437308">
    <w:abstractNumId w:val="13"/>
  </w:num>
  <w:num w:numId="7" w16cid:durableId="1961909954">
    <w:abstractNumId w:val="12"/>
  </w:num>
  <w:num w:numId="8" w16cid:durableId="1752045336">
    <w:abstractNumId w:val="6"/>
  </w:num>
  <w:num w:numId="9" w16cid:durableId="1751346164">
    <w:abstractNumId w:val="5"/>
  </w:num>
  <w:num w:numId="10" w16cid:durableId="767233204">
    <w:abstractNumId w:val="14"/>
  </w:num>
  <w:num w:numId="11" w16cid:durableId="1583098117">
    <w:abstractNumId w:val="9"/>
  </w:num>
  <w:num w:numId="12" w16cid:durableId="722873613">
    <w:abstractNumId w:val="2"/>
  </w:num>
  <w:num w:numId="13" w16cid:durableId="1762066539">
    <w:abstractNumId w:val="3"/>
  </w:num>
  <w:num w:numId="14" w16cid:durableId="120615859">
    <w:abstractNumId w:val="10"/>
  </w:num>
  <w:num w:numId="15" w16cid:durableId="1245644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15"/>
    <w:rsid w:val="0002384C"/>
    <w:rsid w:val="00032845"/>
    <w:rsid w:val="00085888"/>
    <w:rsid w:val="000A19C0"/>
    <w:rsid w:val="000D074A"/>
    <w:rsid w:val="000F3B23"/>
    <w:rsid w:val="000F5591"/>
    <w:rsid w:val="001018AF"/>
    <w:rsid w:val="00114242"/>
    <w:rsid w:val="0012147C"/>
    <w:rsid w:val="00141B3D"/>
    <w:rsid w:val="00145DC9"/>
    <w:rsid w:val="00153470"/>
    <w:rsid w:val="001B6AD5"/>
    <w:rsid w:val="001D2761"/>
    <w:rsid w:val="001D45AA"/>
    <w:rsid w:val="001E0D00"/>
    <w:rsid w:val="00205788"/>
    <w:rsid w:val="00220D30"/>
    <w:rsid w:val="002327E1"/>
    <w:rsid w:val="002626EE"/>
    <w:rsid w:val="00275920"/>
    <w:rsid w:val="00276606"/>
    <w:rsid w:val="00280D12"/>
    <w:rsid w:val="002906F7"/>
    <w:rsid w:val="00291FF1"/>
    <w:rsid w:val="002E1E92"/>
    <w:rsid w:val="00307C4F"/>
    <w:rsid w:val="003215C1"/>
    <w:rsid w:val="003235CA"/>
    <w:rsid w:val="00350522"/>
    <w:rsid w:val="0036624A"/>
    <w:rsid w:val="00375488"/>
    <w:rsid w:val="003A09F0"/>
    <w:rsid w:val="003A67EE"/>
    <w:rsid w:val="003A6E92"/>
    <w:rsid w:val="003D082B"/>
    <w:rsid w:val="003E222C"/>
    <w:rsid w:val="0040479B"/>
    <w:rsid w:val="004173B9"/>
    <w:rsid w:val="0042063B"/>
    <w:rsid w:val="004257DC"/>
    <w:rsid w:val="00467E0C"/>
    <w:rsid w:val="00476560"/>
    <w:rsid w:val="00477F18"/>
    <w:rsid w:val="004809D0"/>
    <w:rsid w:val="004B4915"/>
    <w:rsid w:val="004B647E"/>
    <w:rsid w:val="004C52D4"/>
    <w:rsid w:val="004E47B3"/>
    <w:rsid w:val="004E746A"/>
    <w:rsid w:val="0050266B"/>
    <w:rsid w:val="005057FC"/>
    <w:rsid w:val="005108E9"/>
    <w:rsid w:val="00553C48"/>
    <w:rsid w:val="00572018"/>
    <w:rsid w:val="00575AAB"/>
    <w:rsid w:val="005839EA"/>
    <w:rsid w:val="0058672A"/>
    <w:rsid w:val="00591171"/>
    <w:rsid w:val="005D39D4"/>
    <w:rsid w:val="005D755E"/>
    <w:rsid w:val="005E098C"/>
    <w:rsid w:val="005E30D9"/>
    <w:rsid w:val="0060446F"/>
    <w:rsid w:val="00604E7F"/>
    <w:rsid w:val="00621978"/>
    <w:rsid w:val="0062547D"/>
    <w:rsid w:val="00662F27"/>
    <w:rsid w:val="006A4995"/>
    <w:rsid w:val="006C6202"/>
    <w:rsid w:val="006E03B4"/>
    <w:rsid w:val="006E51D3"/>
    <w:rsid w:val="006E6EEA"/>
    <w:rsid w:val="00723532"/>
    <w:rsid w:val="00725368"/>
    <w:rsid w:val="00735146"/>
    <w:rsid w:val="00740A71"/>
    <w:rsid w:val="007416D7"/>
    <w:rsid w:val="00745F1E"/>
    <w:rsid w:val="00765A33"/>
    <w:rsid w:val="00770E03"/>
    <w:rsid w:val="00774E44"/>
    <w:rsid w:val="007B6D02"/>
    <w:rsid w:val="007E3BDF"/>
    <w:rsid w:val="008110CD"/>
    <w:rsid w:val="00843D67"/>
    <w:rsid w:val="008631C6"/>
    <w:rsid w:val="00895BA0"/>
    <w:rsid w:val="00895FD9"/>
    <w:rsid w:val="008C606B"/>
    <w:rsid w:val="008E5EB7"/>
    <w:rsid w:val="008F2820"/>
    <w:rsid w:val="00912964"/>
    <w:rsid w:val="00915BD1"/>
    <w:rsid w:val="0091676E"/>
    <w:rsid w:val="009233CE"/>
    <w:rsid w:val="009418AE"/>
    <w:rsid w:val="00973EF7"/>
    <w:rsid w:val="00980A67"/>
    <w:rsid w:val="009865E7"/>
    <w:rsid w:val="009A2406"/>
    <w:rsid w:val="009B48D3"/>
    <w:rsid w:val="009C480F"/>
    <w:rsid w:val="009D0330"/>
    <w:rsid w:val="00A049CA"/>
    <w:rsid w:val="00A127E5"/>
    <w:rsid w:val="00A142B8"/>
    <w:rsid w:val="00A17977"/>
    <w:rsid w:val="00A35616"/>
    <w:rsid w:val="00A64C3D"/>
    <w:rsid w:val="00A66277"/>
    <w:rsid w:val="00A705D4"/>
    <w:rsid w:val="00A97EF1"/>
    <w:rsid w:val="00AC16A6"/>
    <w:rsid w:val="00AC27E7"/>
    <w:rsid w:val="00AD3B13"/>
    <w:rsid w:val="00AE7701"/>
    <w:rsid w:val="00B514A6"/>
    <w:rsid w:val="00B55EA1"/>
    <w:rsid w:val="00B759CB"/>
    <w:rsid w:val="00BA571C"/>
    <w:rsid w:val="00BB23F0"/>
    <w:rsid w:val="00BC2669"/>
    <w:rsid w:val="00C058F4"/>
    <w:rsid w:val="00C220E3"/>
    <w:rsid w:val="00C4389C"/>
    <w:rsid w:val="00C72C2D"/>
    <w:rsid w:val="00C80510"/>
    <w:rsid w:val="00C85D68"/>
    <w:rsid w:val="00CC4B5B"/>
    <w:rsid w:val="00CE675A"/>
    <w:rsid w:val="00CE74C4"/>
    <w:rsid w:val="00CF2D04"/>
    <w:rsid w:val="00CF7167"/>
    <w:rsid w:val="00D237F5"/>
    <w:rsid w:val="00D37BFF"/>
    <w:rsid w:val="00D4701A"/>
    <w:rsid w:val="00D70488"/>
    <w:rsid w:val="00D94F12"/>
    <w:rsid w:val="00DB4854"/>
    <w:rsid w:val="00DD1B27"/>
    <w:rsid w:val="00DD7681"/>
    <w:rsid w:val="00DE275B"/>
    <w:rsid w:val="00E00710"/>
    <w:rsid w:val="00E312D3"/>
    <w:rsid w:val="00EA5C4B"/>
    <w:rsid w:val="00EC1435"/>
    <w:rsid w:val="00ED13DC"/>
    <w:rsid w:val="00ED38E4"/>
    <w:rsid w:val="00ED5647"/>
    <w:rsid w:val="00EE0F26"/>
    <w:rsid w:val="00EE21C2"/>
    <w:rsid w:val="00EE2D10"/>
    <w:rsid w:val="00EF3E2C"/>
    <w:rsid w:val="00F26B41"/>
    <w:rsid w:val="00F30767"/>
    <w:rsid w:val="00F672D6"/>
    <w:rsid w:val="00F72E13"/>
    <w:rsid w:val="00F80A47"/>
    <w:rsid w:val="00F904F8"/>
    <w:rsid w:val="00FA2886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555EE"/>
  <w15:chartTrackingRefBased/>
  <w15:docId w15:val="{EAAC8E2D-3E81-499A-B7CD-825E5046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2B8"/>
    <w:pPr>
      <w:spacing w:after="120" w:line="276" w:lineRule="auto"/>
      <w:jc w:val="both"/>
    </w:pPr>
    <w:rPr>
      <w:rFonts w:ascii="Arial Nova Cond" w:hAnsi="Arial Nova Cond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42B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42B8"/>
    <w:pPr>
      <w:keepNext/>
      <w:keepLines/>
      <w:spacing w:before="40" w:after="0" w:line="240" w:lineRule="auto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142B8"/>
    <w:rPr>
      <w:rFonts w:ascii="Arial Nova Cond" w:eastAsiaTheme="majorEastAsia" w:hAnsi="Arial Nova Cond" w:cstheme="majorBidi"/>
      <w:b/>
      <w:color w:val="000000" w:themeColor="text1"/>
      <w:kern w:val="0"/>
      <w:sz w:val="24"/>
      <w:szCs w:val="26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42B8"/>
    <w:rPr>
      <w:rFonts w:ascii="Arial Nova Cond" w:eastAsiaTheme="majorEastAsia" w:hAnsi="Arial Nova Cond" w:cstheme="majorBidi"/>
      <w:b/>
      <w:kern w:val="0"/>
      <w:sz w:val="32"/>
      <w:szCs w:val="32"/>
      <w14:ligatures w14:val="none"/>
    </w:rPr>
  </w:style>
  <w:style w:type="paragraph" w:styleId="Paragrafoelenco">
    <w:name w:val="List Paragraph"/>
    <w:basedOn w:val="Normale"/>
    <w:uiPriority w:val="34"/>
    <w:qFormat/>
    <w:rsid w:val="00D704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3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9D4"/>
    <w:rPr>
      <w:rFonts w:ascii="Cambria Math" w:hAnsi="Cambria Math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D3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39D4"/>
    <w:rPr>
      <w:rFonts w:ascii="Cambria Math" w:hAnsi="Cambria Math"/>
      <w:kern w:val="0"/>
      <w:sz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B6AD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6AD5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6A4995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389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389C"/>
    <w:rPr>
      <w:rFonts w:ascii="Arial Nova Cond" w:hAnsi="Arial Nova Cond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38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ce.em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a\Documents\Modelli%20di%20Office%20personalizzati\CIRCOLARI%20-V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802B-B989-419B-A0DF-285212AC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C:\Users\Roberta\Documents\Modelli di Office personalizzati\CIRCOLARI -V.dotx</Template>
  <TotalTime>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Microsoft Office User</cp:lastModifiedBy>
  <cp:revision>2</cp:revision>
  <dcterms:created xsi:type="dcterms:W3CDTF">2025-12-10T11:12:00Z</dcterms:created>
  <dcterms:modified xsi:type="dcterms:W3CDTF">2025-12-10T11:12:00Z</dcterms:modified>
</cp:coreProperties>
</file>